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53773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3773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53773D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773D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754C3ED7" w:rsidR="00F305BB" w:rsidRPr="0053773D" w:rsidRDefault="0053773D" w:rsidP="0011195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3773D"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0E0E8936" w:rsidR="00F305BB" w:rsidRPr="0053773D" w:rsidRDefault="005377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3773D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17C1AEB9" w:rsidR="00F305BB" w:rsidRPr="0053773D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3773D">
              <w:rPr>
                <w:rFonts w:ascii="Times New Roman" w:hAnsi="Times New Roman"/>
              </w:rPr>
              <w:t>31201</w:t>
            </w:r>
            <w:r w:rsidR="0003460F">
              <w:rPr>
                <w:rFonts w:ascii="Times New Roman" w:hAnsi="Times New Roman"/>
              </w:rPr>
              <w:t>1</w:t>
            </w:r>
            <w:r w:rsidR="0053773D" w:rsidRPr="0053773D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21747F91" w:rsidR="00F305BB" w:rsidRPr="0053773D" w:rsidRDefault="005377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3773D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0913B5B2" w:rsidR="00F305BB" w:rsidRPr="00111959" w:rsidRDefault="0011195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11959">
              <w:rPr>
                <w:rFonts w:ascii="Times New Roman" w:hAnsi="Times New Roman"/>
              </w:rPr>
              <w:t>22.03.2023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46BE7CBB" w:rsidR="00F305BB" w:rsidRPr="007B6C7D" w:rsidRDefault="00111959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2F385A89" w:rsidR="00F305BB" w:rsidRPr="007B6C7D" w:rsidRDefault="00111959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77777777" w:rsidR="006A62A3" w:rsidRDefault="006A62A3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2EF04F51" w:rsidR="00F305BB" w:rsidRPr="007B6C7D" w:rsidRDefault="00111959" w:rsidP="006D34A2">
            <w:pPr>
              <w:spacing w:after="0" w:line="240" w:lineRule="auto"/>
            </w:pPr>
            <w:proofErr w:type="spellStart"/>
            <w:r w:rsidRPr="00E64711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7D29721B" w:rsidR="00EE1416" w:rsidRDefault="0053773D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tvorba výstupu pedagogického klubu spojená s diskusiou k výstupu a zdieľaním názorov na inovatívne metódy rozvoja čitateľskej gramotnosti. Na záver stretnutia sme tvorili pedagogické odporúčanie.</w:t>
            </w:r>
          </w:p>
          <w:p w14:paraId="1B540922" w14:textId="77777777" w:rsidR="0053773D" w:rsidRDefault="0053773D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2C5232E3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53773D">
              <w:rPr>
                <w:rFonts w:ascii="Times New Roman" w:hAnsi="Times New Roman"/>
              </w:rPr>
              <w:t>výstup klubu, diskusia, rozvoj čitateľskej gramotnosti.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B3B7497" w:rsidR="00405AE8" w:rsidRDefault="0053773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Evokácia skúseností.</w:t>
            </w:r>
          </w:p>
          <w:p w14:paraId="32F4CEA6" w14:textId="7A473E5F" w:rsidR="0053773D" w:rsidRDefault="0053773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1A30B83A" w14:textId="01F3CA2B" w:rsidR="0053773D" w:rsidRDefault="0053773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zhrnutia.</w:t>
            </w:r>
          </w:p>
          <w:p w14:paraId="009F7425" w14:textId="3C16DBA3" w:rsidR="0053773D" w:rsidRDefault="0053773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41B80274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53773D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7A6AC92" w14:textId="77777777" w:rsidR="00F305BB" w:rsidRDefault="0053773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Clustering</w:t>
            </w:r>
            <w:proofErr w:type="spellEnd"/>
            <w:r>
              <w:rPr>
                <w:rFonts w:ascii="Times New Roman" w:hAnsi="Times New Roman"/>
              </w:rPr>
              <w:t xml:space="preserve"> – zhrnutie skúseností z pedagogickej praxe.</w:t>
            </w:r>
          </w:p>
          <w:p w14:paraId="61B1B4D2" w14:textId="77777777" w:rsidR="0053773D" w:rsidRDefault="0053773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2914D32E" w14:textId="77777777" w:rsidR="0053773D" w:rsidRDefault="0053773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zhrnutia ako syntéza znalostí z odbornej literatúry a asociovaných skúseností z praxe.</w:t>
            </w:r>
          </w:p>
          <w:p w14:paraId="46ED2987" w14:textId="34E29FEE" w:rsidR="0053773D" w:rsidRPr="00405AE8" w:rsidRDefault="0053773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14F99F79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6B1AA97" w14:textId="36473580" w:rsidR="0053773D" w:rsidRDefault="00724BF7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diskusie sme došli k zhode</w:t>
            </w:r>
            <w:r w:rsidR="00131325">
              <w:rPr>
                <w:rFonts w:ascii="Times New Roman" w:hAnsi="Times New Roman"/>
                <w:bCs/>
              </w:rPr>
              <w:t>, že je d</w:t>
            </w:r>
            <w:r w:rsidR="0053773D" w:rsidRPr="0053773D">
              <w:rPr>
                <w:rFonts w:ascii="Times New Roman" w:hAnsi="Times New Roman"/>
                <w:bCs/>
              </w:rPr>
              <w:t xml:space="preserve">ôležité hľadať alternatívy, ako </w:t>
            </w:r>
            <w:r w:rsidR="00131325">
              <w:rPr>
                <w:rFonts w:ascii="Times New Roman" w:hAnsi="Times New Roman"/>
                <w:bCs/>
              </w:rPr>
              <w:t>inovovať</w:t>
            </w:r>
            <w:r w:rsidR="0053773D" w:rsidRPr="0053773D">
              <w:rPr>
                <w:rFonts w:ascii="Times New Roman" w:hAnsi="Times New Roman"/>
                <w:bCs/>
              </w:rPr>
              <w:t xml:space="preserve"> tradičný spôsob edukácie a vytvoriť vyhovujúce prostredie na vzdelávanie, v ktorom bude žiak plnohodnotne napredovať v oblasti kritického a tvorivého myslenia</w:t>
            </w:r>
            <w:r w:rsidR="00131325">
              <w:rPr>
                <w:rFonts w:ascii="Times New Roman" w:hAnsi="Times New Roman"/>
                <w:bCs/>
              </w:rPr>
              <w:t>.</w:t>
            </w:r>
          </w:p>
          <w:p w14:paraId="20CB330B" w14:textId="77777777" w:rsidR="00131325" w:rsidRPr="0053773D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8EA0B9D" w14:textId="61EF8CE7" w:rsidR="0053773D" w:rsidRPr="0053773D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Použitie</w:t>
            </w:r>
            <w:r w:rsidR="0053773D" w:rsidRPr="0053773D">
              <w:rPr>
                <w:rFonts w:ascii="Times New Roman" w:hAnsi="Times New Roman"/>
                <w:bCs/>
              </w:rPr>
              <w:t xml:space="preserve"> adekvátne vybraných vyučovacích stratégií cielených na upevnenie konkrétnych schopností a zručností sa neskôr odzrkadlí na zlepšení výsledkov žiakov v škole a posilní ich kritické myslenie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6FD37D9" w14:textId="64A62A79" w:rsidR="0053773D" w:rsidRDefault="0053773D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E857D3A" w14:textId="711DB20F" w:rsidR="0053773D" w:rsidRPr="0053773D" w:rsidRDefault="0053773D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>Rozvíjanie kritického myslenia vyžaduje rozvoj</w:t>
            </w:r>
            <w:r w:rsidR="00131325">
              <w:rPr>
                <w:rFonts w:ascii="Times New Roman" w:hAnsi="Times New Roman"/>
                <w:bCs/>
              </w:rPr>
              <w:t xml:space="preserve"> nasledovných</w:t>
            </w:r>
            <w:r w:rsidRPr="0053773D">
              <w:rPr>
                <w:rFonts w:ascii="Times New Roman" w:hAnsi="Times New Roman"/>
                <w:bCs/>
              </w:rPr>
              <w:t xml:space="preserve"> spôsobilosti: </w:t>
            </w:r>
          </w:p>
          <w:p w14:paraId="0221E095" w14:textId="77777777" w:rsidR="0053773D" w:rsidRPr="0053773D" w:rsidRDefault="0053773D" w:rsidP="00131325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 xml:space="preserve">spôsobilosti určiť, definovať a špecifikovať problém, t.j. identifikovať hlavné východiská, sporné otázky, určiť hlavnú myšlienku textu, porovnať podobnosti a rozdiely medzi dvomi, alebo viacerými subjektmi, objektmi v tom istom časovom slede, určiť, ktoré informácie sú dôležité, a ktoré nepodstatné, formulovať vhodné otázky vedúce k hlbšiemu porozumeniu situácie, </w:t>
            </w:r>
          </w:p>
          <w:p w14:paraId="68B164AE" w14:textId="64DC364E" w:rsidR="0053773D" w:rsidRPr="0053773D" w:rsidRDefault="0053773D" w:rsidP="00131325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 xml:space="preserve">spôsobilosti posúdiť informácie vzťahujúce sa k problému, t. j. rozlišovať fakty, názory a odôvodnené úsudky, aplikovať kritéria na posúdenie kvality, kontrolovať konzistentnosť výrokov, určiť nevyslovené predpoklady, rozpoznať stereotypy, hodnotové systémy, rozpoznať predpojatosť, emočné faktory, propagandu. </w:t>
            </w:r>
          </w:p>
          <w:p w14:paraId="78705C06" w14:textId="1B44D9EB" w:rsidR="0053773D" w:rsidRDefault="0053773D" w:rsidP="00131325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 xml:space="preserve">spôsobilosť vyvodzovať závery t. j. určiť vhodnosť a primeranosť údajov pre daný záver, predpovedať pravdepodobné dôsledky prijatého riešenia. </w:t>
            </w:r>
          </w:p>
          <w:p w14:paraId="0DFBBD2F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F00D9BD" w14:textId="047B5FE0" w:rsidR="00131325" w:rsidRDefault="0053773D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 xml:space="preserve">Pri tvorbe </w:t>
            </w:r>
            <w:r w:rsidR="00131325">
              <w:rPr>
                <w:rFonts w:ascii="Times New Roman" w:hAnsi="Times New Roman"/>
                <w:bCs/>
              </w:rPr>
              <w:t>nášho</w:t>
            </w:r>
            <w:r w:rsidRPr="0053773D">
              <w:rPr>
                <w:rFonts w:ascii="Times New Roman" w:hAnsi="Times New Roman"/>
                <w:bCs/>
              </w:rPr>
              <w:t xml:space="preserve"> modelu rozvoja kritického myslenia a definovania zložiek stratégií kritického myslenia žiakov </w:t>
            </w:r>
            <w:r w:rsidR="00131325">
              <w:rPr>
                <w:rFonts w:ascii="Times New Roman" w:hAnsi="Times New Roman"/>
                <w:bCs/>
              </w:rPr>
              <w:t>sme vychádzali</w:t>
            </w:r>
            <w:r w:rsidRPr="0053773D">
              <w:rPr>
                <w:rFonts w:ascii="Times New Roman" w:hAnsi="Times New Roman"/>
                <w:bCs/>
              </w:rPr>
              <w:t xml:space="preserve"> z kognitívnych a dispozičných spôsobilostí kritického myslenia a vybraných stratégií. </w:t>
            </w:r>
            <w:r w:rsidR="00131325">
              <w:rPr>
                <w:rFonts w:ascii="Times New Roman" w:hAnsi="Times New Roman"/>
                <w:bCs/>
              </w:rPr>
              <w:t>Diskutovali sme o základných zložkách, ktoré by tento model vyučovania mal mať</w:t>
            </w:r>
            <w:r w:rsidRPr="0053773D">
              <w:rPr>
                <w:rFonts w:ascii="Times New Roman" w:hAnsi="Times New Roman"/>
                <w:bCs/>
              </w:rPr>
              <w:t>,</w:t>
            </w:r>
            <w:r w:rsidR="00131325">
              <w:rPr>
                <w:rFonts w:ascii="Times New Roman" w:hAnsi="Times New Roman"/>
                <w:bCs/>
              </w:rPr>
              <w:t xml:space="preserve"> pričom sme zistili, že na</w:t>
            </w:r>
            <w:r w:rsidR="00724BF7">
              <w:rPr>
                <w:rFonts w:ascii="Times New Roman" w:hAnsi="Times New Roman"/>
                <w:bCs/>
              </w:rPr>
              <w:t>j</w:t>
            </w:r>
            <w:r w:rsidR="00131325">
              <w:rPr>
                <w:rFonts w:ascii="Times New Roman" w:hAnsi="Times New Roman"/>
                <w:bCs/>
              </w:rPr>
              <w:t>vy</w:t>
            </w:r>
            <w:r w:rsidR="00724BF7">
              <w:rPr>
                <w:rFonts w:ascii="Times New Roman" w:hAnsi="Times New Roman"/>
                <w:bCs/>
              </w:rPr>
              <w:t>š</w:t>
            </w:r>
            <w:r w:rsidR="00131325">
              <w:rPr>
                <w:rFonts w:ascii="Times New Roman" w:hAnsi="Times New Roman"/>
                <w:bCs/>
              </w:rPr>
              <w:t xml:space="preserve">šiu prioritu by sme mali klásť na </w:t>
            </w:r>
            <w:r w:rsidRPr="0053773D">
              <w:rPr>
                <w:rFonts w:ascii="Times New Roman" w:hAnsi="Times New Roman"/>
                <w:bCs/>
              </w:rPr>
              <w:t xml:space="preserve"> kognitívnych zručností, stratégie na rozvoj dispozičných zručností, stratégie na rozvoj tvorivého myslenia, stratégie podporujúce analýzu a syntézu, induktívno-deduktívne stratégie a stratégie riešenia problémov. </w:t>
            </w:r>
          </w:p>
          <w:p w14:paraId="0382486D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5DB87AC0" w14:textId="40A3CE3A" w:rsidR="0053773D" w:rsidRPr="0053773D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odbornej literatúre sme našli pre rozvoj </w:t>
            </w:r>
            <w:proofErr w:type="spellStart"/>
            <w:r>
              <w:rPr>
                <w:rFonts w:ascii="Times New Roman" w:hAnsi="Times New Roman"/>
                <w:bCs/>
              </w:rPr>
              <w:t>čitiateľskej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gramotnosti a kritického myslenia</w:t>
            </w:r>
            <w:r w:rsidR="0053773D" w:rsidRPr="0053773D">
              <w:rPr>
                <w:rFonts w:ascii="Times New Roman" w:hAnsi="Times New Roman"/>
                <w:bCs/>
              </w:rPr>
              <w:t xml:space="preserve"> 6 kategórií stratégií : </w:t>
            </w:r>
          </w:p>
          <w:p w14:paraId="7CA96B9C" w14:textId="77777777" w:rsidR="00131325" w:rsidRDefault="0053773D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>1. Stratégie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na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rozvoj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sebaregulácie</w:t>
            </w:r>
            <w:r w:rsidRPr="0053773D">
              <w:rPr>
                <w:rFonts w:ascii="Times New Roman" w:hAnsi="Times New Roman"/>
                <w:bCs/>
              </w:rPr>
              <w:br/>
              <w:t>2. Stratégie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na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rozvoj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systematických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a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interpretatívnych</w:t>
            </w:r>
            <w:r w:rsidR="00131325">
              <w:rPr>
                <w:rFonts w:ascii="Times New Roman" w:hAnsi="Times New Roman"/>
                <w:bCs/>
              </w:rPr>
              <w:t xml:space="preserve"> </w:t>
            </w:r>
            <w:r w:rsidRPr="0053773D">
              <w:rPr>
                <w:rFonts w:ascii="Times New Roman" w:hAnsi="Times New Roman"/>
                <w:bCs/>
              </w:rPr>
              <w:t>zručností</w:t>
            </w:r>
          </w:p>
          <w:p w14:paraId="696ADA2E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 </w:t>
            </w:r>
            <w:r w:rsidR="0053773D" w:rsidRPr="0053773D">
              <w:rPr>
                <w:rFonts w:ascii="Times New Roman" w:hAnsi="Times New Roman"/>
                <w:bCs/>
              </w:rPr>
              <w:t>Stratégie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argumentácie</w:t>
            </w:r>
            <w:r w:rsidR="0053773D" w:rsidRPr="0053773D">
              <w:rPr>
                <w:rFonts w:ascii="Times New Roman" w:hAnsi="Times New Roman"/>
                <w:bCs/>
              </w:rPr>
              <w:br/>
              <w:t>4. Stratégie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pre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vyvodzovanie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záverov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riešenie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problémov</w:t>
            </w:r>
            <w:r w:rsidR="0053773D" w:rsidRPr="0053773D">
              <w:rPr>
                <w:rFonts w:ascii="Times New Roman" w:hAnsi="Times New Roman"/>
                <w:bCs/>
              </w:rPr>
              <w:br/>
              <w:t>5. Stratégie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na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rozvoj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hodnotenia</w:t>
            </w:r>
            <w:r w:rsidR="0053773D" w:rsidRPr="0053773D">
              <w:rPr>
                <w:rFonts w:ascii="Times New Roman" w:hAnsi="Times New Roman"/>
                <w:bCs/>
              </w:rPr>
              <w:br/>
              <w:t>6. Stratégie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na</w:t>
            </w:r>
            <w:r>
              <w:rPr>
                <w:rFonts w:ascii="Times New Roman" w:hAnsi="Times New Roman"/>
                <w:bCs/>
              </w:rPr>
              <w:t xml:space="preserve">  </w:t>
            </w:r>
            <w:r w:rsidR="0053773D" w:rsidRPr="0053773D">
              <w:rPr>
                <w:rFonts w:ascii="Times New Roman" w:hAnsi="Times New Roman"/>
                <w:bCs/>
              </w:rPr>
              <w:t>rozvoj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čitateľských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3773D" w:rsidRPr="0053773D">
              <w:rPr>
                <w:rFonts w:ascii="Times New Roman" w:hAnsi="Times New Roman"/>
                <w:bCs/>
              </w:rPr>
              <w:t>zručností</w:t>
            </w:r>
          </w:p>
          <w:p w14:paraId="2E58F763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81EF866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293DABE" w14:textId="377C203F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záver odporúčame nasledovné prístupy do praxe:</w:t>
            </w:r>
          </w:p>
          <w:p w14:paraId="26525C53" w14:textId="77777777" w:rsid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B37510A" w14:textId="77777777" w:rsidR="00131325" w:rsidRPr="00131325" w:rsidRDefault="00131325" w:rsidP="00131325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31325">
              <w:rPr>
                <w:rFonts w:ascii="Times New Roman" w:hAnsi="Times New Roman"/>
                <w:bCs/>
              </w:rPr>
              <w:t xml:space="preserve">Implementovať inovatívne metódy na čítanie s porozumením do všetkých </w:t>
            </w:r>
          </w:p>
          <w:p w14:paraId="442CDC6D" w14:textId="56459EB5" w:rsidR="00131325" w:rsidRP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31325">
              <w:rPr>
                <w:rFonts w:ascii="Times New Roman" w:hAnsi="Times New Roman"/>
                <w:bCs/>
              </w:rPr>
              <w:t xml:space="preserve">predmetov, ktorých sa žiaci zúčastňujú. </w:t>
            </w:r>
          </w:p>
          <w:p w14:paraId="08111BBD" w14:textId="73FD2271" w:rsidR="00131325" w:rsidRPr="00131325" w:rsidRDefault="00131325" w:rsidP="0013132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361E8D8" w14:textId="54C8B973" w:rsidR="00131325" w:rsidRPr="00131325" w:rsidRDefault="00131325" w:rsidP="001313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31325">
              <w:rPr>
                <w:rFonts w:ascii="Times New Roman" w:hAnsi="Times New Roman"/>
                <w:bCs/>
              </w:rPr>
              <w:t xml:space="preserve">Ukázať žiakom, ako majú pracovať s rôznymi druhmi textov (súvislými, nesúvislými, literárnymi či informačnými), s ktorými sa v bežnom živote môžu stretnúť. </w:t>
            </w:r>
          </w:p>
          <w:p w14:paraId="2E2E6F60" w14:textId="77777777" w:rsidR="00131325" w:rsidRPr="00131325" w:rsidRDefault="00131325" w:rsidP="001313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31325">
              <w:rPr>
                <w:rFonts w:ascii="Times New Roman" w:hAnsi="Times New Roman"/>
                <w:bCs/>
              </w:rPr>
              <w:t xml:space="preserve">vhodne motivovať žiakov k čítaniu samotnému a zabrániť tomu, aby sa u žiakov vytvoril k čítaniu nezáujem a odmietavý postoj. </w:t>
            </w:r>
          </w:p>
          <w:p w14:paraId="46738599" w14:textId="77777777" w:rsidR="00131325" w:rsidRPr="00131325" w:rsidRDefault="00131325" w:rsidP="001313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31325">
              <w:rPr>
                <w:rFonts w:ascii="Times New Roman" w:hAnsi="Times New Roman"/>
                <w:bCs/>
              </w:rPr>
              <w:t xml:space="preserve">Dať žiakom možnosť výberu textov na čítanie, aby čítali to, čo ich zaujíma. </w:t>
            </w:r>
          </w:p>
          <w:p w14:paraId="08026C45" w14:textId="1E66AF02" w:rsidR="00131325" w:rsidRPr="00131325" w:rsidRDefault="00131325" w:rsidP="001313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31325">
              <w:rPr>
                <w:rFonts w:ascii="Times New Roman" w:hAnsi="Times New Roman"/>
                <w:bCs/>
              </w:rPr>
              <w:t xml:space="preserve">Pri čítaní s porozumením rozvíjať u žiakov aj vyššie metakognitívne procesy podľa Bloomovej taxonómie. </w:t>
            </w:r>
          </w:p>
          <w:p w14:paraId="78591200" w14:textId="0C19C635" w:rsidR="0053773D" w:rsidRPr="00724BF7" w:rsidRDefault="0053773D" w:rsidP="00724BF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53773D">
              <w:rPr>
                <w:rFonts w:ascii="Times New Roman" w:hAnsi="Times New Roman"/>
                <w:bCs/>
              </w:rPr>
              <w:t xml:space="preserve"> </w:t>
            </w:r>
          </w:p>
          <w:p w14:paraId="22F6E601" w14:textId="100CE185" w:rsidR="00EE1416" w:rsidRPr="00C776AE" w:rsidRDefault="00131325" w:rsidP="001313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187A9D32" w:rsidR="00F305BB" w:rsidRPr="007B6C7D" w:rsidRDefault="00111959" w:rsidP="007B6C7D">
            <w:pPr>
              <w:tabs>
                <w:tab w:val="left" w:pos="1114"/>
              </w:tabs>
              <w:spacing w:after="0" w:line="240" w:lineRule="auto"/>
            </w:pPr>
            <w:r w:rsidRPr="00560EAF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32ED51DE" w:rsidR="00F305BB" w:rsidRPr="007B6C7D" w:rsidRDefault="00111959" w:rsidP="007B6C7D">
            <w:pPr>
              <w:tabs>
                <w:tab w:val="left" w:pos="1114"/>
              </w:tabs>
              <w:spacing w:after="0" w:line="240" w:lineRule="auto"/>
            </w:pPr>
            <w:r>
              <w:t>22.03.2023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69AE4324" w:rsidR="00F305BB" w:rsidRPr="00111959" w:rsidRDefault="00131325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11959">
              <w:rPr>
                <w:rFonts w:ascii="Times New Roman" w:hAnsi="Times New Roman"/>
              </w:rPr>
              <w:t>Mgr</w:t>
            </w:r>
            <w:r w:rsidR="002A4CE2" w:rsidRPr="00111959">
              <w:rPr>
                <w:rFonts w:ascii="Times New Roman" w:hAnsi="Times New Roman"/>
              </w:rPr>
              <w:t xml:space="preserve">. </w:t>
            </w:r>
            <w:r w:rsidRPr="00111959">
              <w:rPr>
                <w:rFonts w:ascii="Times New Roman" w:hAnsi="Times New Roman"/>
              </w:rP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655E7392" w:rsidR="00F305BB" w:rsidRPr="007B6C7D" w:rsidRDefault="00111959" w:rsidP="007B6C7D">
            <w:pPr>
              <w:tabs>
                <w:tab w:val="left" w:pos="1114"/>
              </w:tabs>
              <w:spacing w:after="0" w:line="240" w:lineRule="auto"/>
            </w:pPr>
            <w:r>
              <w:t>22.03.2023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6B7AF9A1" w:rsidR="00F305BB" w:rsidRPr="001620FF" w:rsidRDefault="00111959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4BEF4AFF" w:rsidR="00F305BB" w:rsidRPr="007B6C7D" w:rsidRDefault="00111959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790972BF" w:rsidR="00F305BB" w:rsidRPr="007B6C7D" w:rsidRDefault="00111959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607AFCAA" w:rsidR="00F305BB" w:rsidRPr="007B6C7D" w:rsidRDefault="00111959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072814DB" w:rsidR="00F305BB" w:rsidRPr="007B6C7D" w:rsidRDefault="00111959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5D5A07A7" w14:textId="77777777" w:rsidR="00111959" w:rsidRDefault="00F305BB" w:rsidP="00111959">
      <w:pPr>
        <w:rPr>
          <w:rFonts w:asciiTheme="minorHAnsi" w:hAnsiTheme="minorHAnsi"/>
        </w:rPr>
      </w:pPr>
      <w:r>
        <w:t>Miesto konania stretnutia:</w:t>
      </w:r>
      <w:r w:rsidR="006746AD">
        <w:t xml:space="preserve"> </w:t>
      </w:r>
      <w:r w:rsidR="00111959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540EC122" w:rsidR="00957662" w:rsidRDefault="00F305BB" w:rsidP="00D0796E">
      <w:r>
        <w:t>Dátum konania stretnutia:</w:t>
      </w:r>
      <w:r w:rsidR="00A64FD7">
        <w:t xml:space="preserve"> </w:t>
      </w:r>
      <w:r w:rsidR="00C01D56">
        <w:t>22.03</w:t>
      </w:r>
      <w:bookmarkStart w:id="0" w:name="_GoBack"/>
      <w:bookmarkEnd w:id="0"/>
      <w:r w:rsidR="00111959">
        <w:t>.2023</w:t>
      </w:r>
    </w:p>
    <w:p w14:paraId="67344927" w14:textId="00B73FB6" w:rsidR="00F305BB" w:rsidRDefault="00F305BB" w:rsidP="00D0796E">
      <w:r>
        <w:t xml:space="preserve">Trvanie stretnutia: </w:t>
      </w:r>
      <w:r w:rsidR="00111959">
        <w:t>od 15:30 hod do 18:30 hod</w:t>
      </w:r>
      <w:r w:rsidR="00111959"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113DAF3" w:rsidR="0000510A" w:rsidRPr="007B6C7D" w:rsidRDefault="00111959" w:rsidP="001745A4">
            <w:r>
              <w:t>1.</w:t>
            </w:r>
          </w:p>
        </w:tc>
        <w:tc>
          <w:tcPr>
            <w:tcW w:w="3935" w:type="dxa"/>
          </w:tcPr>
          <w:p w14:paraId="6EE167F3" w14:textId="31D9844B" w:rsidR="0000510A" w:rsidRPr="007B6C7D" w:rsidRDefault="00111959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11129B72" w:rsidR="0000510A" w:rsidRPr="007B6C7D" w:rsidRDefault="00111959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41C347BD" w:rsidR="0000510A" w:rsidRPr="007B6C7D" w:rsidRDefault="00111959" w:rsidP="001745A4">
            <w:r>
              <w:t>2.</w:t>
            </w:r>
          </w:p>
        </w:tc>
        <w:tc>
          <w:tcPr>
            <w:tcW w:w="3935" w:type="dxa"/>
          </w:tcPr>
          <w:p w14:paraId="069B2AB0" w14:textId="51C549EC" w:rsidR="0000510A" w:rsidRPr="007B6C7D" w:rsidRDefault="00111959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11E225E8" w:rsidR="0000510A" w:rsidRPr="007B6C7D" w:rsidRDefault="00111959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BA3EA1F" w:rsidR="0000510A" w:rsidRPr="007B6C7D" w:rsidRDefault="00111959" w:rsidP="001745A4">
            <w:r>
              <w:t>3.</w:t>
            </w:r>
          </w:p>
        </w:tc>
        <w:tc>
          <w:tcPr>
            <w:tcW w:w="3935" w:type="dxa"/>
          </w:tcPr>
          <w:p w14:paraId="2B6A3716" w14:textId="00412220" w:rsidR="0000510A" w:rsidRPr="007B6C7D" w:rsidRDefault="00111959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1BEC68F9" w:rsidR="0000510A" w:rsidRPr="007B6C7D" w:rsidRDefault="00111959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5A59A24B" w:rsidR="0000510A" w:rsidRPr="007B6C7D" w:rsidRDefault="00111959" w:rsidP="001745A4">
            <w:r>
              <w:t>4.</w:t>
            </w:r>
          </w:p>
        </w:tc>
        <w:tc>
          <w:tcPr>
            <w:tcW w:w="3935" w:type="dxa"/>
          </w:tcPr>
          <w:p w14:paraId="762354B6" w14:textId="4F6FF38C" w:rsidR="0000510A" w:rsidRPr="007B6C7D" w:rsidRDefault="00111959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587786CF" w:rsidR="0000510A" w:rsidRPr="007B6C7D" w:rsidRDefault="00111959" w:rsidP="00111959">
            <w:pPr>
              <w:jc w:val="center"/>
            </w:pPr>
            <w:r w:rsidRPr="00FF7AC9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72532666" w14:textId="5783DDD7" w:rsidR="0000510A" w:rsidRPr="007B6C7D" w:rsidRDefault="00111959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3BB3FAFA" w:rsidR="0000510A" w:rsidRPr="007B6C7D" w:rsidRDefault="00111959" w:rsidP="001745A4">
            <w:r>
              <w:t>5.</w:t>
            </w:r>
          </w:p>
        </w:tc>
        <w:tc>
          <w:tcPr>
            <w:tcW w:w="3935" w:type="dxa"/>
          </w:tcPr>
          <w:p w14:paraId="60EDB10F" w14:textId="1373C932" w:rsidR="0000510A" w:rsidRPr="007B6C7D" w:rsidRDefault="00111959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614ECFBA" w:rsidR="0000510A" w:rsidRPr="007B6C7D" w:rsidRDefault="00111959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02B01999" w:rsidR="0000510A" w:rsidRPr="007B6C7D" w:rsidRDefault="00111959" w:rsidP="001745A4">
            <w:r>
              <w:t>6.</w:t>
            </w:r>
          </w:p>
        </w:tc>
        <w:tc>
          <w:tcPr>
            <w:tcW w:w="3935" w:type="dxa"/>
          </w:tcPr>
          <w:p w14:paraId="50651180" w14:textId="1CC795A3" w:rsidR="0000510A" w:rsidRPr="007B6C7D" w:rsidRDefault="00111959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27840703" w:rsidR="0000510A" w:rsidRPr="007B6C7D" w:rsidRDefault="00111959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39F9D" w14:textId="77777777" w:rsidR="00EB153D" w:rsidRDefault="00EB153D" w:rsidP="00CF35D8">
      <w:pPr>
        <w:spacing w:after="0" w:line="240" w:lineRule="auto"/>
      </w:pPr>
      <w:r>
        <w:separator/>
      </w:r>
    </w:p>
  </w:endnote>
  <w:endnote w:type="continuationSeparator" w:id="0">
    <w:p w14:paraId="1DF62AA9" w14:textId="77777777" w:rsidR="00EB153D" w:rsidRDefault="00EB153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05B5B" w14:textId="77777777" w:rsidR="00EB153D" w:rsidRDefault="00EB153D" w:rsidP="00CF35D8">
      <w:pPr>
        <w:spacing w:after="0" w:line="240" w:lineRule="auto"/>
      </w:pPr>
      <w:r>
        <w:separator/>
      </w:r>
    </w:p>
  </w:footnote>
  <w:footnote w:type="continuationSeparator" w:id="0">
    <w:p w14:paraId="6EB19E03" w14:textId="77777777" w:rsidR="00EB153D" w:rsidRDefault="00EB153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A3E54A1"/>
    <w:multiLevelType w:val="multilevel"/>
    <w:tmpl w:val="D2EE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DD801B2"/>
    <w:multiLevelType w:val="multilevel"/>
    <w:tmpl w:val="59769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057"/>
    <w:multiLevelType w:val="multilevel"/>
    <w:tmpl w:val="213C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4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8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9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20"/>
  </w:num>
  <w:num w:numId="4">
    <w:abstractNumId w:val="22"/>
  </w:num>
  <w:num w:numId="5">
    <w:abstractNumId w:val="21"/>
  </w:num>
  <w:num w:numId="6">
    <w:abstractNumId w:val="6"/>
  </w:num>
  <w:num w:numId="7">
    <w:abstractNumId w:val="5"/>
  </w:num>
  <w:num w:numId="8">
    <w:abstractNumId w:val="11"/>
  </w:num>
  <w:num w:numId="9">
    <w:abstractNumId w:val="23"/>
  </w:num>
  <w:num w:numId="10">
    <w:abstractNumId w:val="19"/>
  </w:num>
  <w:num w:numId="11">
    <w:abstractNumId w:val="27"/>
  </w:num>
  <w:num w:numId="12">
    <w:abstractNumId w:val="13"/>
  </w:num>
  <w:num w:numId="13">
    <w:abstractNumId w:val="16"/>
  </w:num>
  <w:num w:numId="14">
    <w:abstractNumId w:val="10"/>
  </w:num>
  <w:num w:numId="15">
    <w:abstractNumId w:val="18"/>
  </w:num>
  <w:num w:numId="16">
    <w:abstractNumId w:val="14"/>
  </w:num>
  <w:num w:numId="17">
    <w:abstractNumId w:val="2"/>
  </w:num>
  <w:num w:numId="18">
    <w:abstractNumId w:val="1"/>
  </w:num>
  <w:num w:numId="19">
    <w:abstractNumId w:val="15"/>
  </w:num>
  <w:num w:numId="20">
    <w:abstractNumId w:val="26"/>
  </w:num>
  <w:num w:numId="21">
    <w:abstractNumId w:val="17"/>
  </w:num>
  <w:num w:numId="22">
    <w:abstractNumId w:val="3"/>
  </w:num>
  <w:num w:numId="23">
    <w:abstractNumId w:val="7"/>
  </w:num>
  <w:num w:numId="24">
    <w:abstractNumId w:val="25"/>
  </w:num>
  <w:num w:numId="25">
    <w:abstractNumId w:val="4"/>
  </w:num>
  <w:num w:numId="26">
    <w:abstractNumId w:val="9"/>
  </w:num>
  <w:num w:numId="27">
    <w:abstractNumId w:val="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05C65"/>
    <w:rsid w:val="0003460F"/>
    <w:rsid w:val="00043125"/>
    <w:rsid w:val="00053B89"/>
    <w:rsid w:val="000E17A2"/>
    <w:rsid w:val="000E2536"/>
    <w:rsid w:val="000E6FBF"/>
    <w:rsid w:val="000F127B"/>
    <w:rsid w:val="00111959"/>
    <w:rsid w:val="00131325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08E2"/>
    <w:rsid w:val="00307DB0"/>
    <w:rsid w:val="0032433B"/>
    <w:rsid w:val="0034733D"/>
    <w:rsid w:val="003700F7"/>
    <w:rsid w:val="003F10E0"/>
    <w:rsid w:val="004041CD"/>
    <w:rsid w:val="00405AE8"/>
    <w:rsid w:val="00413C3B"/>
    <w:rsid w:val="00423CC3"/>
    <w:rsid w:val="00433AD7"/>
    <w:rsid w:val="00446402"/>
    <w:rsid w:val="0047641D"/>
    <w:rsid w:val="004970DE"/>
    <w:rsid w:val="004C05D7"/>
    <w:rsid w:val="004D1C40"/>
    <w:rsid w:val="004F368A"/>
    <w:rsid w:val="005007D0"/>
    <w:rsid w:val="00500D96"/>
    <w:rsid w:val="00507CF5"/>
    <w:rsid w:val="005361EC"/>
    <w:rsid w:val="0053773D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BF7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47B9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1D56"/>
    <w:rsid w:val="00C065E1"/>
    <w:rsid w:val="00C1042E"/>
    <w:rsid w:val="00C21F84"/>
    <w:rsid w:val="00C776AE"/>
    <w:rsid w:val="00CA0B4D"/>
    <w:rsid w:val="00CA17C6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DF648A"/>
    <w:rsid w:val="00E20B98"/>
    <w:rsid w:val="00E33AAA"/>
    <w:rsid w:val="00E36C97"/>
    <w:rsid w:val="00E926D8"/>
    <w:rsid w:val="00E94264"/>
    <w:rsid w:val="00EB153D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3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1304</Words>
  <Characters>7436</Characters>
  <Application>Microsoft Office Word</Application>
  <DocSecurity>0</DocSecurity>
  <Lines>61</Lines>
  <Paragraphs>17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PREZENČNÁ LISTINA</vt:lpstr>
      <vt:lpstr> </vt:lpstr>
    </vt:vector>
  </TitlesOfParts>
  <Company/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5</cp:revision>
  <cp:lastPrinted>2023-03-21T08:59:00Z</cp:lastPrinted>
  <dcterms:created xsi:type="dcterms:W3CDTF">2023-03-20T12:55:00Z</dcterms:created>
  <dcterms:modified xsi:type="dcterms:W3CDTF">2023-03-21T09:19:00Z</dcterms:modified>
</cp:coreProperties>
</file>